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9D" w:rsidRDefault="00975135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Years 3/4</w:t>
      </w:r>
      <w:r w:rsidRPr="005D4271">
        <w:rPr>
          <w:rFonts w:asciiTheme="majorHAnsi" w:hAnsiTheme="majorHAnsi"/>
          <w:b/>
          <w:bCs/>
          <w:u w:val="single"/>
        </w:rPr>
        <w:t xml:space="preserve"> Reading Objectives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32"/>
        <w:gridCol w:w="13663"/>
      </w:tblGrid>
      <w:tr w:rsidR="00975135" w:rsidRPr="00351B64" w:rsidTr="00975135">
        <w:trPr>
          <w:trHeight w:val="585"/>
        </w:trPr>
        <w:tc>
          <w:tcPr>
            <w:tcW w:w="1332" w:type="dxa"/>
          </w:tcPr>
          <w:p w:rsidR="00975135" w:rsidRPr="00351B64" w:rsidRDefault="00975135" w:rsidP="00975135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3663" w:type="dxa"/>
          </w:tcPr>
          <w:p w:rsidR="00975135" w:rsidRPr="00351B64" w:rsidRDefault="00975135" w:rsidP="00656E02">
            <w:pPr>
              <w:jc w:val="center"/>
              <w:rPr>
                <w:rFonts w:asciiTheme="majorHAnsi" w:hAnsiTheme="majorHAnsi"/>
                <w:lang w:val="en-GB"/>
              </w:rPr>
            </w:pPr>
            <w:r w:rsidRPr="00351B64">
              <w:rPr>
                <w:rFonts w:asciiTheme="majorHAnsi" w:hAnsiTheme="majorHAnsi"/>
                <w:lang w:val="en-GB"/>
              </w:rPr>
              <w:t>Name</w:t>
            </w:r>
          </w:p>
        </w:tc>
      </w:tr>
      <w:tr w:rsidR="00975135" w:rsidRPr="00351B64" w:rsidTr="00975135">
        <w:trPr>
          <w:cantSplit/>
          <w:trHeight w:val="743"/>
        </w:trPr>
        <w:tc>
          <w:tcPr>
            <w:tcW w:w="1332" w:type="dxa"/>
            <w:vMerge w:val="restart"/>
            <w:textDirection w:val="btLr"/>
          </w:tcPr>
          <w:p w:rsidR="00975135" w:rsidRPr="00351B64" w:rsidRDefault="00975135" w:rsidP="00656E02">
            <w:pPr>
              <w:ind w:left="113" w:right="113"/>
              <w:jc w:val="right"/>
              <w:rPr>
                <w:rFonts w:asciiTheme="majorHAnsi" w:hAnsiTheme="majorHAnsi" w:cs="Times New Roman"/>
                <w:bCs/>
                <w:color w:val="000000"/>
                <w:kern w:val="24"/>
                <w:lang w:val="en-GB"/>
              </w:rPr>
            </w:pPr>
            <w:r w:rsidRPr="00351B64">
              <w:rPr>
                <w:rFonts w:asciiTheme="majorHAnsi" w:hAnsiTheme="majorHAnsi" w:cs="Times New Roman"/>
                <w:bCs/>
                <w:color w:val="000000"/>
                <w:kern w:val="24"/>
                <w:lang w:val="en-GB"/>
              </w:rPr>
              <w:t>Decoding</w:t>
            </w:r>
          </w:p>
        </w:tc>
        <w:tc>
          <w:tcPr>
            <w:tcW w:w="13663" w:type="dxa"/>
          </w:tcPr>
          <w:p w:rsidR="00975135" w:rsidRPr="00351B64" w:rsidRDefault="00975135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 xml:space="preserve">Read common exception words </w:t>
            </w:r>
          </w:p>
          <w:p w:rsidR="00975135" w:rsidRPr="00351B64" w:rsidRDefault="00975135" w:rsidP="00656E02">
            <w:pPr>
              <w:spacing w:before="2" w:after="2"/>
              <w:rPr>
                <w:rFonts w:ascii="Calibri" w:hAnsi="Calibri" w:cs="Times New Roman"/>
                <w:bCs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(Year 3 or Year 4 spellings)</w:t>
            </w:r>
          </w:p>
        </w:tc>
      </w:tr>
      <w:tr w:rsidR="00975135" w:rsidRPr="00351B64" w:rsidTr="00975135">
        <w:trPr>
          <w:cantSplit/>
          <w:trHeight w:val="603"/>
        </w:trPr>
        <w:tc>
          <w:tcPr>
            <w:tcW w:w="1332" w:type="dxa"/>
            <w:vMerge/>
            <w:textDirection w:val="btLr"/>
          </w:tcPr>
          <w:p w:rsidR="00975135" w:rsidRPr="00351B64" w:rsidRDefault="00975135" w:rsidP="00656E02">
            <w:pPr>
              <w:ind w:left="113" w:right="113"/>
              <w:jc w:val="right"/>
              <w:rPr>
                <w:rFonts w:asciiTheme="majorHAnsi" w:hAnsiTheme="majorHAnsi" w:cs="Times New Roman"/>
                <w:bCs/>
                <w:color w:val="000000"/>
                <w:kern w:val="24"/>
                <w:lang w:val="en-GB"/>
              </w:rPr>
            </w:pPr>
          </w:p>
        </w:tc>
        <w:tc>
          <w:tcPr>
            <w:tcW w:w="13663" w:type="dxa"/>
          </w:tcPr>
          <w:p w:rsidR="00975135" w:rsidRPr="00351B64" w:rsidRDefault="00975135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Apply their growing knowledge of root words, prefixes and suffixes, both to read aloud and to understand the meaning of new words that they meet.</w:t>
            </w:r>
          </w:p>
        </w:tc>
      </w:tr>
      <w:tr w:rsidR="00975135" w:rsidRPr="00351B64" w:rsidTr="00975135">
        <w:trPr>
          <w:trHeight w:val="555"/>
        </w:trPr>
        <w:tc>
          <w:tcPr>
            <w:tcW w:w="1332" w:type="dxa"/>
            <w:vMerge w:val="restart"/>
            <w:textDirection w:val="btLr"/>
          </w:tcPr>
          <w:p w:rsidR="00975135" w:rsidRPr="00351B64" w:rsidRDefault="00975135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  <w:t>Comprehension / Retrieval</w:t>
            </w:r>
          </w:p>
        </w:tc>
        <w:tc>
          <w:tcPr>
            <w:tcW w:w="13663" w:type="dxa"/>
          </w:tcPr>
          <w:p w:rsidR="00975135" w:rsidRPr="00351B64" w:rsidRDefault="00975135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Identifying the main ideas drawn from more than one paragraph and summarising these</w:t>
            </w:r>
          </w:p>
        </w:tc>
      </w:tr>
      <w:tr w:rsidR="00975135" w:rsidRPr="00351B64" w:rsidTr="00975135">
        <w:trPr>
          <w:trHeight w:val="421"/>
        </w:trPr>
        <w:tc>
          <w:tcPr>
            <w:tcW w:w="1332" w:type="dxa"/>
            <w:vMerge/>
          </w:tcPr>
          <w:p w:rsidR="00975135" w:rsidRPr="00351B64" w:rsidRDefault="00975135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663" w:type="dxa"/>
          </w:tcPr>
          <w:p w:rsidR="00975135" w:rsidRPr="00351B64" w:rsidRDefault="00975135" w:rsidP="00656E02">
            <w:pPr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 xml:space="preserve">Asking questions to improve their understanding </w:t>
            </w:r>
          </w:p>
        </w:tc>
      </w:tr>
      <w:tr w:rsidR="00975135" w:rsidRPr="00351B64" w:rsidTr="00975135">
        <w:trPr>
          <w:trHeight w:val="556"/>
        </w:trPr>
        <w:tc>
          <w:tcPr>
            <w:tcW w:w="1332" w:type="dxa"/>
            <w:vMerge/>
          </w:tcPr>
          <w:p w:rsidR="00975135" w:rsidRPr="00351B64" w:rsidRDefault="00975135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663" w:type="dxa"/>
          </w:tcPr>
          <w:p w:rsidR="00975135" w:rsidRPr="00351B64" w:rsidRDefault="00975135" w:rsidP="00656E02">
            <w:pPr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Retrieving, recording and presenting information from non-fiction</w:t>
            </w:r>
          </w:p>
        </w:tc>
      </w:tr>
      <w:tr w:rsidR="00975135" w:rsidRPr="00351B64" w:rsidTr="00975135">
        <w:trPr>
          <w:trHeight w:val="408"/>
        </w:trPr>
        <w:tc>
          <w:tcPr>
            <w:tcW w:w="1332" w:type="dxa"/>
            <w:vMerge/>
            <w:tcBorders>
              <w:bottom w:val="single" w:sz="4" w:space="0" w:color="000000" w:themeColor="text1"/>
            </w:tcBorders>
          </w:tcPr>
          <w:p w:rsidR="00975135" w:rsidRPr="00351B64" w:rsidRDefault="00975135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663" w:type="dxa"/>
            <w:tcBorders>
              <w:bottom w:val="single" w:sz="4" w:space="0" w:color="000000" w:themeColor="text1"/>
            </w:tcBorders>
          </w:tcPr>
          <w:p w:rsidR="00975135" w:rsidRPr="00351B64" w:rsidRDefault="00975135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Checking that the book makes sense to them and exploring the meaning of words in context</w:t>
            </w:r>
          </w:p>
        </w:tc>
      </w:tr>
      <w:tr w:rsidR="00975135" w:rsidRPr="00351B64" w:rsidTr="00975135">
        <w:trPr>
          <w:trHeight w:val="414"/>
        </w:trPr>
        <w:tc>
          <w:tcPr>
            <w:tcW w:w="1332" w:type="dxa"/>
            <w:vMerge w:val="restart"/>
            <w:textDirection w:val="btLr"/>
          </w:tcPr>
          <w:p w:rsidR="00975135" w:rsidRPr="00351B64" w:rsidRDefault="00975135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  <w:t>Inference</w:t>
            </w:r>
          </w:p>
        </w:tc>
        <w:tc>
          <w:tcPr>
            <w:tcW w:w="13663" w:type="dxa"/>
          </w:tcPr>
          <w:p w:rsidR="00975135" w:rsidRPr="00351B64" w:rsidRDefault="00975135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Predicting what might happen from details stated and implied</w:t>
            </w:r>
          </w:p>
        </w:tc>
      </w:tr>
      <w:tr w:rsidR="00975135" w:rsidRPr="00351B64" w:rsidTr="00975135">
        <w:trPr>
          <w:trHeight w:val="420"/>
        </w:trPr>
        <w:tc>
          <w:tcPr>
            <w:tcW w:w="1332" w:type="dxa"/>
            <w:vMerge/>
          </w:tcPr>
          <w:p w:rsidR="00975135" w:rsidRPr="00351B64" w:rsidRDefault="00975135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663" w:type="dxa"/>
          </w:tcPr>
          <w:p w:rsidR="00975135" w:rsidRPr="00351B64" w:rsidRDefault="00975135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Drawing inferences such as inferring characters’ feelings from their actions, and justifying inferences with evidence</w:t>
            </w:r>
          </w:p>
        </w:tc>
      </w:tr>
      <w:tr w:rsidR="00975135" w:rsidRPr="00351B64" w:rsidTr="00975135">
        <w:trPr>
          <w:cantSplit/>
          <w:trHeight w:val="837"/>
        </w:trPr>
        <w:tc>
          <w:tcPr>
            <w:tcW w:w="1332" w:type="dxa"/>
            <w:vMerge w:val="restart"/>
            <w:textDirection w:val="btLr"/>
          </w:tcPr>
          <w:p w:rsidR="00975135" w:rsidRPr="00351B64" w:rsidRDefault="00975135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  <w:t>Language for Effect</w:t>
            </w:r>
          </w:p>
        </w:tc>
        <w:tc>
          <w:tcPr>
            <w:tcW w:w="13663" w:type="dxa"/>
          </w:tcPr>
          <w:p w:rsidR="00975135" w:rsidRPr="00351B64" w:rsidRDefault="00975135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Discussing words and phrases that capture the reader’s interest and imagination (WOW words – language choice) and how these contribute to meaning</w:t>
            </w:r>
          </w:p>
        </w:tc>
      </w:tr>
      <w:tr w:rsidR="00975135" w:rsidRPr="00351B64" w:rsidTr="00975135">
        <w:trPr>
          <w:cantSplit/>
          <w:trHeight w:val="566"/>
        </w:trPr>
        <w:tc>
          <w:tcPr>
            <w:tcW w:w="1332" w:type="dxa"/>
            <w:vMerge/>
            <w:textDirection w:val="btLr"/>
          </w:tcPr>
          <w:p w:rsidR="00975135" w:rsidRPr="00351B64" w:rsidRDefault="00975135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663" w:type="dxa"/>
          </w:tcPr>
          <w:p w:rsidR="00975135" w:rsidRPr="00351B64" w:rsidRDefault="00975135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Identifying how language, structure, and presentation contribute to meaning</w:t>
            </w:r>
          </w:p>
        </w:tc>
      </w:tr>
      <w:tr w:rsidR="00975135" w:rsidRPr="00351B64" w:rsidTr="00975135">
        <w:trPr>
          <w:cantSplit/>
          <w:trHeight w:val="688"/>
        </w:trPr>
        <w:tc>
          <w:tcPr>
            <w:tcW w:w="1332" w:type="dxa"/>
            <w:textDirection w:val="btLr"/>
          </w:tcPr>
          <w:p w:rsidR="00975135" w:rsidRPr="00351B64" w:rsidRDefault="00975135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  <w:t>Themes &amp;Conventions</w:t>
            </w:r>
          </w:p>
        </w:tc>
        <w:tc>
          <w:tcPr>
            <w:tcW w:w="13663" w:type="dxa"/>
          </w:tcPr>
          <w:p w:rsidR="00975135" w:rsidRPr="00351B64" w:rsidRDefault="00975135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Identifying and discussing themes and conventions  in and across a wide range of writing (features of a particular genre)</w:t>
            </w:r>
          </w:p>
        </w:tc>
      </w:tr>
      <w:tr w:rsidR="00975135" w:rsidRPr="00351B64" w:rsidTr="00975135">
        <w:trPr>
          <w:trHeight w:val="570"/>
        </w:trPr>
        <w:tc>
          <w:tcPr>
            <w:tcW w:w="1332" w:type="dxa"/>
            <w:vMerge w:val="restart"/>
            <w:textDirection w:val="btLr"/>
          </w:tcPr>
          <w:p w:rsidR="00975135" w:rsidRPr="00351B64" w:rsidRDefault="00975135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  <w:t>Others</w:t>
            </w:r>
          </w:p>
        </w:tc>
        <w:tc>
          <w:tcPr>
            <w:tcW w:w="13663" w:type="dxa"/>
          </w:tcPr>
          <w:p w:rsidR="00975135" w:rsidRPr="00351B64" w:rsidRDefault="00975135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Retelling well known stories (fairy tales, myths, legends)  orally</w:t>
            </w:r>
          </w:p>
        </w:tc>
      </w:tr>
      <w:tr w:rsidR="00975135" w:rsidRPr="00351B64" w:rsidTr="00975135">
        <w:trPr>
          <w:trHeight w:val="879"/>
        </w:trPr>
        <w:tc>
          <w:tcPr>
            <w:tcW w:w="1332" w:type="dxa"/>
            <w:vMerge/>
          </w:tcPr>
          <w:p w:rsidR="00975135" w:rsidRPr="00351B64" w:rsidRDefault="00975135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663" w:type="dxa"/>
          </w:tcPr>
          <w:p w:rsidR="00975135" w:rsidRPr="00351B64" w:rsidRDefault="00975135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Recognising some different forms of poetry [for example, free verse, narrative poetry]</w:t>
            </w:r>
          </w:p>
        </w:tc>
      </w:tr>
      <w:tr w:rsidR="00975135" w:rsidRPr="00351B64" w:rsidTr="00975135">
        <w:trPr>
          <w:trHeight w:val="841"/>
        </w:trPr>
        <w:tc>
          <w:tcPr>
            <w:tcW w:w="1332" w:type="dxa"/>
            <w:vMerge/>
          </w:tcPr>
          <w:p w:rsidR="00975135" w:rsidRPr="00351B64" w:rsidRDefault="00975135" w:rsidP="00656E02">
            <w:pPr>
              <w:jc w:val="right"/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13663" w:type="dxa"/>
          </w:tcPr>
          <w:p w:rsidR="00975135" w:rsidRPr="00351B64" w:rsidRDefault="00975135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Learning  poetry / play scripts by heart to perform, showing understanding through intonation, tone, volume and action so that the meaning is clear to an audience</w:t>
            </w:r>
          </w:p>
        </w:tc>
      </w:tr>
      <w:tr w:rsidR="00975135" w:rsidRPr="00351B64" w:rsidTr="00975135">
        <w:trPr>
          <w:trHeight w:val="841"/>
        </w:trPr>
        <w:tc>
          <w:tcPr>
            <w:tcW w:w="1332" w:type="dxa"/>
            <w:vMerge/>
          </w:tcPr>
          <w:p w:rsidR="00975135" w:rsidRPr="00351B64" w:rsidRDefault="00975135" w:rsidP="00656E02">
            <w:pPr>
              <w:jc w:val="right"/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13663" w:type="dxa"/>
          </w:tcPr>
          <w:p w:rsidR="00975135" w:rsidRPr="00351B64" w:rsidRDefault="00975135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Participating in discussions about both books that are read to them and those they can read for themselves, taking turns and listening to what others say.</w:t>
            </w:r>
          </w:p>
        </w:tc>
      </w:tr>
    </w:tbl>
    <w:p w:rsidR="00975135" w:rsidRDefault="00975135">
      <w:bookmarkStart w:id="0" w:name="_GoBack"/>
      <w:bookmarkEnd w:id="0"/>
    </w:p>
    <w:sectPr w:rsidR="00975135" w:rsidSect="00975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35"/>
    <w:rsid w:val="00975135"/>
    <w:rsid w:val="00C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917EE-EF25-48A5-B22B-911F6EED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13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</cp:revision>
  <dcterms:created xsi:type="dcterms:W3CDTF">2018-11-15T20:49:00Z</dcterms:created>
  <dcterms:modified xsi:type="dcterms:W3CDTF">2018-11-15T20:52:00Z</dcterms:modified>
</cp:coreProperties>
</file>